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8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80000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8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-242570</wp:posOffset>
            </wp:positionV>
            <wp:extent cx="1190625" cy="790575"/>
            <wp:effectExtent l="19050" t="0" r="9525" b="0"/>
            <wp:wrapNone/>
            <wp:docPr id="1" name="Obraz 1" descr="C:\Users\Iwona\AppData\Local\Temp\znak_ergo_rgb_m_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znak_ergo_rgb_m_16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18" w:rsidRPr="005D6718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800000"/>
          <w:sz w:val="32"/>
          <w:szCs w:val="32"/>
        </w:rPr>
      </w:pPr>
      <w:r w:rsidRPr="005D6718">
        <w:rPr>
          <w:rFonts w:ascii="Calibri" w:hAnsi="Calibri" w:cs="Calibri"/>
          <w:b/>
          <w:bCs/>
          <w:color w:val="800000"/>
          <w:sz w:val="32"/>
          <w:szCs w:val="32"/>
        </w:rPr>
        <w:t>WARUNKI SZCZEGÓLNE</w:t>
      </w:r>
    </w:p>
    <w:p w:rsidR="008D6D70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800000"/>
        </w:rPr>
      </w:pPr>
      <w:r w:rsidRPr="00020487">
        <w:rPr>
          <w:rFonts w:ascii="Calibri" w:hAnsi="Calibri" w:cs="Calibri"/>
          <w:b/>
          <w:bCs/>
          <w:color w:val="800000"/>
        </w:rPr>
        <w:t>DO UBEZPIECZENIA NNW BEZPIECZNA SZKOŁA DLA dzieci i młodzieży w wie</w:t>
      </w:r>
      <w:r>
        <w:rPr>
          <w:rFonts w:ascii="Calibri" w:hAnsi="Calibri" w:cs="Calibri"/>
          <w:b/>
          <w:bCs/>
          <w:color w:val="800000"/>
        </w:rPr>
        <w:t>ku do 25 lat</w:t>
      </w:r>
    </w:p>
    <w:p w:rsidR="005D6718" w:rsidRDefault="005D6718" w:rsidP="005D6718">
      <w:pPr>
        <w:spacing w:line="360" w:lineRule="auto"/>
        <w:jc w:val="center"/>
        <w:rPr>
          <w:rFonts w:ascii="Calibri" w:hAnsi="Calibri" w:cs="Calibri"/>
          <w:b/>
          <w:bCs/>
          <w:color w:val="800000"/>
        </w:rPr>
      </w:pPr>
      <w:r>
        <w:rPr>
          <w:rFonts w:ascii="Calibri" w:hAnsi="Calibri" w:cs="Calibri"/>
          <w:b/>
          <w:bCs/>
          <w:color w:val="800000"/>
        </w:rPr>
        <w:t xml:space="preserve"> na rok szkolny 2015/16</w:t>
      </w:r>
      <w:r w:rsidRPr="00020487">
        <w:rPr>
          <w:rFonts w:ascii="Calibri" w:hAnsi="Calibri" w:cs="Calibri"/>
          <w:b/>
          <w:bCs/>
          <w:color w:val="800000"/>
        </w:rPr>
        <w:t xml:space="preserve">, ubezpieczonych za pośrednictwem Agencji NR </w:t>
      </w:r>
      <w:r>
        <w:rPr>
          <w:rFonts w:ascii="Calibri" w:hAnsi="Calibri" w:cs="Calibri"/>
          <w:b/>
          <w:bCs/>
          <w:color w:val="800000"/>
        </w:rPr>
        <w:t>013486</w:t>
      </w:r>
      <w:r w:rsidRPr="00020487">
        <w:rPr>
          <w:rFonts w:ascii="Calibri" w:hAnsi="Calibri" w:cs="Calibri"/>
          <w:b/>
          <w:bCs/>
          <w:color w:val="800000"/>
        </w:rPr>
        <w:t xml:space="preserve"> </w:t>
      </w:r>
      <w:r w:rsidR="00CF5B25">
        <w:rPr>
          <w:rFonts w:ascii="Calibri" w:hAnsi="Calibri" w:cs="Calibri"/>
          <w:b/>
          <w:bCs/>
          <w:color w:val="800000"/>
        </w:rPr>
        <w:t xml:space="preserve">                                 </w:t>
      </w:r>
      <w:r w:rsidRPr="00E955C5">
        <w:rPr>
          <w:rFonts w:ascii="Calibri" w:hAnsi="Calibri" w:cs="Calibri"/>
          <w:b/>
          <w:bCs/>
          <w:color w:val="800000"/>
        </w:rPr>
        <w:t>AGENCJA UBEZPIECZENIOWA PEGAZ HENTISZ - KOZIOŁEK - ŚWISTUŃ S. J.</w:t>
      </w:r>
    </w:p>
    <w:p w:rsidR="005D6718" w:rsidRDefault="005D6718" w:rsidP="005D6718">
      <w:pPr>
        <w:spacing w:line="360" w:lineRule="auto"/>
        <w:rPr>
          <w:rFonts w:ascii="Calibri" w:hAnsi="Calibri" w:cs="Calibri"/>
          <w:b/>
          <w:bCs/>
          <w:color w:val="800000"/>
        </w:rPr>
      </w:pPr>
    </w:p>
    <w:p w:rsidR="005D6718" w:rsidRPr="00020487" w:rsidRDefault="005D6718" w:rsidP="005D6718">
      <w:pPr>
        <w:spacing w:line="360" w:lineRule="auto"/>
        <w:jc w:val="center"/>
        <w:rPr>
          <w:rFonts w:ascii="Calibri" w:hAnsi="Calibri" w:cs="Arial"/>
          <w:color w:val="595959"/>
          <w:sz w:val="20"/>
          <w:szCs w:val="20"/>
        </w:rPr>
      </w:pPr>
    </w:p>
    <w:tbl>
      <w:tblPr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521"/>
        <w:gridCol w:w="3828"/>
      </w:tblGrid>
      <w:tr w:rsidR="005D6718" w:rsidRPr="00020487" w:rsidTr="00305809">
        <w:trPr>
          <w:trHeight w:val="20"/>
        </w:trPr>
        <w:tc>
          <w:tcPr>
            <w:tcW w:w="6521" w:type="dxa"/>
            <w:shd w:val="clear" w:color="auto" w:fill="D9D9D9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b/>
                <w:bCs/>
                <w:color w:val="800000"/>
                <w:sz w:val="20"/>
                <w:szCs w:val="20"/>
              </w:rPr>
            </w:pPr>
            <w:r w:rsidRPr="00020487">
              <w:rPr>
                <w:rFonts w:ascii="Calibri" w:hAnsi="Calibri" w:cs="Arial"/>
                <w:b/>
                <w:bCs/>
                <w:color w:val="800000"/>
                <w:sz w:val="20"/>
                <w:szCs w:val="20"/>
              </w:rPr>
              <w:t>Rodzaj świadczenia (świadczenia związane z następstwem nieszczęśliwego wypadku)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b/>
                <w:bCs/>
                <w:color w:val="800000"/>
                <w:sz w:val="20"/>
                <w:szCs w:val="20"/>
              </w:rPr>
            </w:pPr>
            <w:r w:rsidRPr="00020487">
              <w:rPr>
                <w:rFonts w:ascii="Calibri" w:hAnsi="Calibri" w:cs="Arial"/>
                <w:b/>
                <w:bCs/>
                <w:color w:val="800000"/>
                <w:sz w:val="20"/>
                <w:szCs w:val="20"/>
              </w:rPr>
              <w:t>Wysokość wypłaty</w:t>
            </w:r>
          </w:p>
        </w:tc>
      </w:tr>
      <w:tr w:rsidR="005D6718" w:rsidRPr="00020487" w:rsidTr="00305809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śmierć Ubezpieczonego w wyniku NNW oraz </w:t>
            </w:r>
            <w:proofErr w:type="spellStart"/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sepsy</w:t>
            </w:r>
            <w:proofErr w:type="spellEnd"/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100% sumy ubezpieczenia</w:t>
            </w:r>
          </w:p>
        </w:tc>
      </w:tr>
      <w:tr w:rsidR="005D6718" w:rsidRPr="00020487" w:rsidTr="00305809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śmierć Ubezpieczonego w wyniku niewydolności wielonarządowej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100% sumy ubezpieczenia</w:t>
            </w:r>
          </w:p>
        </w:tc>
      </w:tr>
      <w:tr w:rsidR="005D6718" w:rsidRPr="00311F28" w:rsidTr="00305809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częściowy trwały uszczerbek na zdrowiu powyżej 25%</w:t>
            </w:r>
          </w:p>
          <w:p w:rsidR="005D6718" w:rsidRPr="00311F28" w:rsidRDefault="005D6718" w:rsidP="0030580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(świadczenia progresywne)</w:t>
            </w:r>
          </w:p>
        </w:tc>
        <w:tc>
          <w:tcPr>
            <w:tcW w:w="3828" w:type="dxa"/>
            <w:vAlign w:val="center"/>
          </w:tcPr>
          <w:p w:rsidR="005D6718" w:rsidRPr="00311F28" w:rsidRDefault="005D6718" w:rsidP="0030580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2% sumy ubezpieczenia za każdy 1% uszczerbku na zdrowiu</w:t>
            </w:r>
          </w:p>
        </w:tc>
      </w:tr>
      <w:tr w:rsidR="005D6718" w:rsidRPr="00020487" w:rsidTr="00305809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całkowity (100%) trwały uszczerbek na zdrowiu (trwałe inwalidztwo)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200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% sumy ubezpieczenia </w:t>
            </w:r>
          </w:p>
        </w:tc>
      </w:tr>
      <w:tr w:rsidR="005D6718" w:rsidRPr="00020487" w:rsidTr="00305809">
        <w:trPr>
          <w:trHeight w:val="4123"/>
        </w:trPr>
        <w:tc>
          <w:tcPr>
            <w:tcW w:w="6521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częściowy trwały uszczerbek na zdrowiu, w tym też: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poparzenie 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odmrożenie 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złamania, zwichni</w:t>
            </w:r>
            <w:r>
              <w:rPr>
                <w:rFonts w:ascii="Calibri" w:hAnsi="Calibri" w:cs="Arial"/>
                <w:color w:val="404040"/>
                <w:sz w:val="20"/>
                <w:szCs w:val="20"/>
              </w:rPr>
              <w:t>ęcia, skręcenia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zranienie, rany szarpane, rany cięte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wstrząśnienie mózgu, obicie mózgu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uszkodzenie narządu słuchu lub wzroku 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obrażenia ciała spowodowane atakiem  epilepsji, upadkiem na skutek omdlenia, utraty przytomności o nieustalonej przyczynie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następstwa udarów mózgu</w:t>
            </w:r>
          </w:p>
          <w:p w:rsidR="005D6718" w:rsidRPr="00020487" w:rsidRDefault="005D6718" w:rsidP="005D671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następstwa zawału mięśnia sercowego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b/>
                <w:color w:val="404040"/>
                <w:sz w:val="20"/>
                <w:szCs w:val="20"/>
              </w:rPr>
              <w:t>%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sumy ubezpieczenia, w jakim Ubezpieczony doznał trwałego uszczerbku </w:t>
            </w:r>
          </w:p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</w:p>
        </w:tc>
      </w:tr>
      <w:tr w:rsidR="005D6718" w:rsidRPr="00020487" w:rsidTr="00305809">
        <w:trPr>
          <w:trHeight w:val="781"/>
        </w:trPr>
        <w:tc>
          <w:tcPr>
            <w:tcW w:w="6521" w:type="dxa"/>
            <w:vAlign w:val="center"/>
          </w:tcPr>
          <w:p w:rsidR="005D6718" w:rsidRPr="00020487" w:rsidRDefault="005D6718" w:rsidP="005D6718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skutki pogryzienia przez psa, pokąsania lub pogryzienia przez inne zwierzęta oraz ukąszenia owadów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b/>
                <w:color w:val="404040"/>
                <w:sz w:val="20"/>
                <w:szCs w:val="20"/>
              </w:rPr>
              <w:t>%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sumy ubezpieczenia, w jakim Ubezpieczony doznał trwałego uszczerbku </w:t>
            </w:r>
          </w:p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</w:p>
        </w:tc>
      </w:tr>
      <w:tr w:rsidR="005D6718" w:rsidRPr="00020487" w:rsidTr="00305809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5D671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uszczerbek na zdrowiu w wyniku nieudanej próby samobójczej </w:t>
            </w:r>
          </w:p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</w:p>
          <w:p w:rsidR="005D6718" w:rsidRPr="00020487" w:rsidRDefault="005D6718" w:rsidP="005D6718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śmierć w wyniku popełnienia samobójstwa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b/>
                <w:color w:val="404040"/>
                <w:sz w:val="20"/>
                <w:szCs w:val="20"/>
              </w:rPr>
              <w:t>%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sumy ubezpieczenia, w jakim Ubezpieczony doznał trwałego uszczerbku</w:t>
            </w:r>
          </w:p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100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% sumy ubezpieczenia</w:t>
            </w:r>
          </w:p>
        </w:tc>
      </w:tr>
      <w:tr w:rsidR="005D6718" w:rsidRPr="00020487" w:rsidTr="00305809">
        <w:trPr>
          <w:trHeight w:val="20"/>
        </w:trPr>
        <w:tc>
          <w:tcPr>
            <w:tcW w:w="6521" w:type="dxa"/>
            <w:vAlign w:val="center"/>
          </w:tcPr>
          <w:p w:rsidR="005D6718" w:rsidRDefault="005D6718" w:rsidP="005D6718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uszczerbek w wyniku rekreacyjnego uprawiania sportu w czasie zajęć pozaszkolnych (nie dotyczy zajęć w ramach Zarejestrowanych Klubów Sportowych i Szkół Mistrzostwa Sportowego)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305809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1432DB">
              <w:rPr>
                <w:rFonts w:ascii="Calibri" w:hAnsi="Calibri" w:cs="Arial"/>
                <w:b/>
                <w:color w:val="404040"/>
                <w:sz w:val="20"/>
                <w:szCs w:val="20"/>
              </w:rPr>
              <w:t>%</w:t>
            </w:r>
            <w:r w:rsidRPr="001432DB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sumy ubezpieczenia, w jakim Ubezpieczony doznał trwałego uszczerbku</w:t>
            </w:r>
          </w:p>
        </w:tc>
      </w:tr>
    </w:tbl>
    <w:p w:rsidR="00E32AF8" w:rsidRDefault="005D6718" w:rsidP="005D671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-547370</wp:posOffset>
            </wp:positionV>
            <wp:extent cx="1190625" cy="790575"/>
            <wp:effectExtent l="19050" t="0" r="9525" b="0"/>
            <wp:wrapNone/>
            <wp:docPr id="2" name="Obraz 1" descr="C:\Users\Iwona\AppData\Local\Temp\znak_ergo_rgb_m_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znak_ergo_rgb_m_16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18" w:rsidRDefault="005D6718" w:rsidP="005D6718">
      <w:pPr>
        <w:ind w:left="284" w:right="141" w:firstLine="142"/>
      </w:pPr>
    </w:p>
    <w:tbl>
      <w:tblPr>
        <w:tblpPr w:leftFromText="141" w:rightFromText="141" w:horzAnchor="margin" w:tblpY="615"/>
        <w:tblW w:w="10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521"/>
        <w:gridCol w:w="3828"/>
      </w:tblGrid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Default="005D6718" w:rsidP="005D6718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zwrot koszów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nabycia środków pomocniczych, protez, gipsów miękkich i innych przedmiotów ortopedycznych </w:t>
            </w:r>
          </w:p>
          <w:p w:rsidR="005D6718" w:rsidRPr="00E955C5" w:rsidRDefault="005D6718" w:rsidP="005D6718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E955C5">
              <w:rPr>
                <w:rFonts w:ascii="Calibri" w:hAnsi="Calibri" w:cs="Arial"/>
                <w:color w:val="404040"/>
                <w:sz w:val="20"/>
                <w:szCs w:val="20"/>
              </w:rPr>
              <w:t>koszty odbudowy zębów stałych</w:t>
            </w:r>
          </w:p>
        </w:tc>
        <w:tc>
          <w:tcPr>
            <w:tcW w:w="3828" w:type="dxa"/>
            <w:vAlign w:val="center"/>
          </w:tcPr>
          <w:p w:rsidR="005D6718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20% sumy ubezpieczenia</w:t>
            </w:r>
          </w:p>
          <w:p w:rsidR="005D6718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max 200zł za każdy ząb stały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zwrot kosztów przeszkolenia zawodowego inwalidów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do 3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0% sumy ubezpieczenia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jednorazowe świadczenie na wypadek leczenia szpitalnego (min 7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dni)</w:t>
            </w:r>
          </w:p>
          <w:p w:rsidR="005D6718" w:rsidRPr="00020487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-  bez trwałego uszczerbku na zdrowiu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3% sum</w:t>
            </w:r>
            <w:r>
              <w:rPr>
                <w:rFonts w:ascii="Calibri" w:hAnsi="Calibri" w:cs="Arial"/>
                <w:color w:val="404040"/>
                <w:sz w:val="20"/>
                <w:szCs w:val="20"/>
              </w:rPr>
              <w:t xml:space="preserve">y ubezpieczenia 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jednorazowe świadczenie na wypadek leczenia ambulatoryjnego (min 22</w:t>
            </w: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dni) - bez trwałego uszczerbku na zdrowiu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1% su</w:t>
            </w:r>
            <w:r>
              <w:rPr>
                <w:rFonts w:ascii="Calibri" w:hAnsi="Calibri" w:cs="Arial"/>
                <w:color w:val="404040"/>
                <w:sz w:val="20"/>
                <w:szCs w:val="20"/>
              </w:rPr>
              <w:t>my ubezpieczenia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Pr="00020487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 xml:space="preserve">koszty dodatkowych badań lekarskich zleconych przez STU Ergo Hestia SA </w:t>
            </w:r>
          </w:p>
          <w:p w:rsidR="005D6718" w:rsidRPr="00020487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dla uzasadnienia roszczeń</w:t>
            </w:r>
          </w:p>
        </w:tc>
        <w:tc>
          <w:tcPr>
            <w:tcW w:w="3828" w:type="dxa"/>
            <w:vAlign w:val="center"/>
          </w:tcPr>
          <w:p w:rsidR="005D6718" w:rsidRPr="00020487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020487">
              <w:rPr>
                <w:rFonts w:ascii="Calibri" w:hAnsi="Calibri" w:cs="Arial"/>
                <w:color w:val="404040"/>
                <w:sz w:val="20"/>
                <w:szCs w:val="20"/>
              </w:rPr>
              <w:t>wg załączonych rachunków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Pr="001432DB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d</w:t>
            </w:r>
            <w:r w:rsidRPr="001432DB">
              <w:rPr>
                <w:rFonts w:ascii="Calibri" w:hAnsi="Calibri" w:cs="Arial"/>
                <w:color w:val="404040"/>
                <w:sz w:val="20"/>
                <w:szCs w:val="20"/>
              </w:rPr>
              <w:t>zienne świadczenie szpitalne płatne od 1 dnia pobytu, max 60 dni (min. pobyt w szpitalu 3 dni)</w:t>
            </w:r>
            <w:r>
              <w:rPr>
                <w:rFonts w:ascii="Calibri" w:hAnsi="Calibri" w:cs="Arial"/>
                <w:color w:val="404040"/>
                <w:sz w:val="20"/>
                <w:szCs w:val="20"/>
              </w:rPr>
              <w:t xml:space="preserve"> – dotyczy NNW i chorób</w:t>
            </w:r>
          </w:p>
        </w:tc>
        <w:tc>
          <w:tcPr>
            <w:tcW w:w="3828" w:type="dxa"/>
            <w:vAlign w:val="center"/>
          </w:tcPr>
          <w:p w:rsidR="005D6718" w:rsidRPr="00756CFF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1432DB">
              <w:rPr>
                <w:rFonts w:ascii="Calibri" w:hAnsi="Calibri" w:cs="Arial"/>
                <w:color w:val="404040"/>
                <w:sz w:val="20"/>
                <w:szCs w:val="20"/>
              </w:rPr>
              <w:t>20 PLN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z</w:t>
            </w:r>
            <w:r w:rsidRPr="00756CFF">
              <w:rPr>
                <w:rFonts w:ascii="Calibri" w:hAnsi="Calibri" w:cs="Arial"/>
                <w:color w:val="404040"/>
                <w:sz w:val="20"/>
                <w:szCs w:val="20"/>
              </w:rPr>
              <w:t>wrot kosztów leczenia na wydatki poniesione wskutek NNW</w:t>
            </w:r>
          </w:p>
          <w:p w:rsidR="00CF5B25" w:rsidRPr="009C3CA1" w:rsidRDefault="00CF5B25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(</w:t>
            </w:r>
            <w:r w:rsidR="004E7164">
              <w:rPr>
                <w:rFonts w:ascii="Calibri" w:hAnsi="Calibri" w:cs="Arial"/>
                <w:color w:val="404040"/>
                <w:sz w:val="20"/>
                <w:szCs w:val="20"/>
              </w:rPr>
              <w:t>badania i zabiegi ambulatoryjne, operacyjne, zakup niezbędnych lekarstw i środków opatrunkowych, pobyt w placówce</w:t>
            </w:r>
            <w:r w:rsidR="00855E15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służby</w:t>
            </w:r>
            <w:r w:rsidR="004E7164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zdrowia, wizyty lekarskie)</w:t>
            </w:r>
          </w:p>
        </w:tc>
        <w:tc>
          <w:tcPr>
            <w:tcW w:w="3828" w:type="dxa"/>
            <w:vAlign w:val="center"/>
          </w:tcPr>
          <w:p w:rsidR="005D6718" w:rsidRPr="00756CFF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756CFF">
              <w:rPr>
                <w:rFonts w:ascii="Calibri" w:hAnsi="Calibri" w:cs="Arial"/>
                <w:color w:val="404040"/>
                <w:sz w:val="20"/>
                <w:szCs w:val="20"/>
              </w:rPr>
              <w:t>150 PLN</w:t>
            </w:r>
            <w:r w:rsidR="00CF5B25">
              <w:rPr>
                <w:rFonts w:ascii="Calibri" w:hAnsi="Calibri" w:cs="Arial"/>
                <w:color w:val="404040"/>
                <w:sz w:val="20"/>
                <w:szCs w:val="20"/>
              </w:rPr>
              <w:t xml:space="preserve">  ze zniesionym udziałem własnym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Pr="00756CFF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j</w:t>
            </w:r>
            <w:r w:rsidRPr="00524F8B">
              <w:rPr>
                <w:rFonts w:ascii="Calibri" w:hAnsi="Calibri" w:cs="Arial"/>
                <w:color w:val="404040"/>
                <w:sz w:val="20"/>
                <w:szCs w:val="20"/>
              </w:rPr>
              <w:t>ednorazowe świadczenie na wypadek śmierci w wyniku NNW jednego lub obojga rodziców</w:t>
            </w:r>
          </w:p>
        </w:tc>
        <w:tc>
          <w:tcPr>
            <w:tcW w:w="3828" w:type="dxa"/>
            <w:vAlign w:val="center"/>
          </w:tcPr>
          <w:p w:rsidR="005D6718" w:rsidRPr="00756CFF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1.000 PLN</w:t>
            </w:r>
          </w:p>
        </w:tc>
      </w:tr>
      <w:tr w:rsidR="005D6718" w:rsidRPr="00020487" w:rsidTr="005D6718">
        <w:trPr>
          <w:trHeight w:val="20"/>
        </w:trPr>
        <w:tc>
          <w:tcPr>
            <w:tcW w:w="6521" w:type="dxa"/>
            <w:vAlign w:val="center"/>
          </w:tcPr>
          <w:p w:rsidR="005D6718" w:rsidRDefault="005D6718" w:rsidP="005D6718">
            <w:pPr>
              <w:tabs>
                <w:tab w:val="num" w:pos="1"/>
              </w:tabs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404040"/>
                <w:sz w:val="20"/>
                <w:szCs w:val="20"/>
              </w:rPr>
              <w:t>Assistance</w:t>
            </w:r>
            <w:proofErr w:type="spellEnd"/>
            <w:r>
              <w:rPr>
                <w:rFonts w:ascii="Calibri" w:hAnsi="Calibri" w:cs="Arial"/>
                <w:color w:val="404040"/>
                <w:sz w:val="20"/>
                <w:szCs w:val="20"/>
              </w:rPr>
              <w:t xml:space="preserve"> powypadkowy na terenie Polski – organizacja i pokrycie kosztów: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Wizyta lekarza w miejscu pobytu ubezpieczonego lub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Wizyta ubezpieczonego u lekarza w placówce medycznej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Wizyta pielęgniarki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Dowóz leków i drobnego sprzętu medycznego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Transport medyczny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Pomoc psychologa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Rehabilitacja:</w:t>
            </w:r>
          </w:p>
          <w:p w:rsidR="005D6718" w:rsidRPr="00B347E2" w:rsidRDefault="005D6718" w:rsidP="005D671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wizyta fizykoterapeuty</w:t>
            </w:r>
          </w:p>
          <w:p w:rsidR="005D6718" w:rsidRPr="00B347E2" w:rsidRDefault="005D6718" w:rsidP="005D671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wizyta w poradni rehabilitacyjnej</w:t>
            </w:r>
          </w:p>
          <w:p w:rsidR="005D6718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Sprzęt rehabilitacyjny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Opieka nad dzieckiem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Pomoc informacyjna</w:t>
            </w:r>
          </w:p>
          <w:p w:rsidR="005D6718" w:rsidRPr="00B347E2" w:rsidRDefault="005D6718" w:rsidP="005D6718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Telefoniczna informacja o placówkach i usługach służby zdrowia</w:t>
            </w:r>
          </w:p>
          <w:p w:rsidR="005D6718" w:rsidRPr="003F1778" w:rsidRDefault="005D6718" w:rsidP="005D671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Powiadomienie rodziny/pracodawcy</w:t>
            </w:r>
          </w:p>
          <w:p w:rsidR="005D6718" w:rsidRPr="00A363DA" w:rsidRDefault="005D6718" w:rsidP="005D671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B347E2">
              <w:rPr>
                <w:rFonts w:ascii="Calibri" w:hAnsi="Calibri" w:cs="Calibri"/>
                <w:color w:val="595959"/>
                <w:sz w:val="18"/>
                <w:szCs w:val="18"/>
              </w:rPr>
              <w:t>Telefoniczna informacja medyczna/szpitalna</w:t>
            </w:r>
          </w:p>
        </w:tc>
        <w:tc>
          <w:tcPr>
            <w:tcW w:w="3828" w:type="dxa"/>
            <w:vAlign w:val="center"/>
          </w:tcPr>
          <w:p w:rsidR="005D6718" w:rsidRDefault="005D6718" w:rsidP="005D6718">
            <w:pPr>
              <w:spacing w:line="360" w:lineRule="auto"/>
              <w:rPr>
                <w:rFonts w:ascii="Calibri" w:hAnsi="Calibri" w:cs="Arial"/>
                <w:color w:val="404040"/>
                <w:sz w:val="20"/>
                <w:szCs w:val="20"/>
              </w:rPr>
            </w:pPr>
            <w:r>
              <w:rPr>
                <w:rFonts w:ascii="Calibri" w:hAnsi="Calibri" w:cs="Arial"/>
                <w:color w:val="404040"/>
                <w:sz w:val="20"/>
                <w:szCs w:val="20"/>
              </w:rPr>
              <w:t>2.000 zł</w:t>
            </w:r>
          </w:p>
        </w:tc>
      </w:tr>
    </w:tbl>
    <w:p w:rsidR="005D6718" w:rsidRDefault="005D6718" w:rsidP="005D6718">
      <w:pPr>
        <w:spacing w:line="360" w:lineRule="auto"/>
        <w:rPr>
          <w:rFonts w:ascii="Calibri" w:eastAsia="Calibri" w:hAnsi="Calibri" w:cs="Arial"/>
          <w:b/>
          <w:color w:val="800000"/>
          <w:sz w:val="20"/>
          <w:szCs w:val="20"/>
          <w:lang w:eastAsia="en-US"/>
        </w:rPr>
      </w:pPr>
    </w:p>
    <w:p w:rsidR="005D6718" w:rsidRDefault="005D6718" w:rsidP="004E7164">
      <w:pPr>
        <w:spacing w:line="360" w:lineRule="auto"/>
      </w:pPr>
      <w:r>
        <w:rPr>
          <w:rFonts w:ascii="Calibri" w:eastAsia="Calibri" w:hAnsi="Calibri" w:cs="Arial"/>
          <w:b/>
          <w:color w:val="800000"/>
          <w:sz w:val="20"/>
          <w:szCs w:val="20"/>
          <w:lang w:eastAsia="en-US"/>
        </w:rPr>
        <w:t xml:space="preserve">Odpowiedzialność Ergo Hestii ma miejsce tylko w sytuacji, gdy do rozpoznania i zdiagnozowania choroby lub zdarzenia nieszczęśliwego wypadku doszło w okresie ubezpieczenia. </w:t>
      </w:r>
    </w:p>
    <w:sectPr w:rsidR="005D6718" w:rsidSect="005D671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7E3"/>
    <w:multiLevelType w:val="hybridMultilevel"/>
    <w:tmpl w:val="2FE4C8C2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D4E5E"/>
    <w:multiLevelType w:val="hybridMultilevel"/>
    <w:tmpl w:val="61E4E97C"/>
    <w:lvl w:ilvl="0" w:tplc="37A043BE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E5BE3"/>
    <w:multiLevelType w:val="hybridMultilevel"/>
    <w:tmpl w:val="C37278A0"/>
    <w:lvl w:ilvl="0" w:tplc="5D60B17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53C7A"/>
    <w:multiLevelType w:val="hybridMultilevel"/>
    <w:tmpl w:val="2FE4C8C2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C99"/>
    <w:multiLevelType w:val="hybridMultilevel"/>
    <w:tmpl w:val="4F1669C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21901"/>
    <w:multiLevelType w:val="hybridMultilevel"/>
    <w:tmpl w:val="D1647694"/>
    <w:lvl w:ilvl="0" w:tplc="5D60B17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C0504D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718"/>
    <w:rsid w:val="001E3A98"/>
    <w:rsid w:val="0022103A"/>
    <w:rsid w:val="004C63D5"/>
    <w:rsid w:val="004E7164"/>
    <w:rsid w:val="005D6718"/>
    <w:rsid w:val="008372C1"/>
    <w:rsid w:val="00855E15"/>
    <w:rsid w:val="008D6D70"/>
    <w:rsid w:val="00A600E4"/>
    <w:rsid w:val="00A76DBC"/>
    <w:rsid w:val="00B063CB"/>
    <w:rsid w:val="00CF5B25"/>
    <w:rsid w:val="00E3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7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2015-04-30T11:03:00Z</cp:lastPrinted>
  <dcterms:created xsi:type="dcterms:W3CDTF">2015-04-30T11:01:00Z</dcterms:created>
  <dcterms:modified xsi:type="dcterms:W3CDTF">2015-05-27T13:28:00Z</dcterms:modified>
</cp:coreProperties>
</file>